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7E53C4" w:rsidP="00490E66">
      <w:pPr>
        <w:pStyle w:val="Titre"/>
        <w:spacing w:after="120"/>
        <w:rPr>
          <w:lang w:val="fr-CH"/>
        </w:rPr>
      </w:pPr>
      <w:r>
        <w:rPr>
          <w:lang w:val="fr-CH"/>
        </w:rPr>
        <w:t>Critères stratégiques de sélection de projets</w:t>
      </w:r>
    </w:p>
    <w:p w:rsidR="007E53C4" w:rsidRDefault="007E53C4" w:rsidP="007E53C4">
      <w:r>
        <w:t>La liste ci-dessous est très générique et devrait être adaptée à chaque organisation et complétée en conséquence, en fonction de ses valeurs, de sa mission et de sa vision.</w:t>
      </w:r>
    </w:p>
    <w:p w:rsidR="007E53C4" w:rsidRDefault="007E53C4" w:rsidP="007E53C4">
      <w:r>
        <w:t>Chaque critère possède 5 possibilités de réponses, qui résulteront en une ponctuation variant entre –2 et +2. Ensuite, après les définitions stratég</w:t>
      </w:r>
      <w:r>
        <w:t>i</w:t>
      </w:r>
      <w:r>
        <w:t>ques pour la période en vigueur, chaque critère recevra une pondération de 0, 1, 2 ou 3, permettant ainsi ne pas considérer un critère lors de l’évaluation des projets, ou d’en renforcer un en relation aux autres.</w:t>
      </w:r>
    </w:p>
    <w:p w:rsidR="00976F87" w:rsidRDefault="00976F87" w:rsidP="007E53C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1541"/>
        <w:gridCol w:w="1517"/>
        <w:gridCol w:w="1523"/>
        <w:gridCol w:w="1523"/>
        <w:gridCol w:w="1617"/>
        <w:gridCol w:w="1372"/>
      </w:tblGrid>
      <w:tr w:rsidR="007B37AE" w:rsidRPr="00421FED" w:rsidTr="007B37AE">
        <w:trPr>
          <w:cantSplit/>
          <w:tblHeader/>
        </w:trPr>
        <w:tc>
          <w:tcPr>
            <w:tcW w:w="4944" w:type="dxa"/>
            <w:tcBorders>
              <w:top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Réponses aux critères et points attribués</w:t>
            </w:r>
          </w:p>
        </w:tc>
        <w:tc>
          <w:tcPr>
            <w:tcW w:w="136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Facteur de</w:t>
            </w:r>
          </w:p>
        </w:tc>
      </w:tr>
      <w:tr w:rsidR="007B37AE" w:rsidRPr="00421FED" w:rsidTr="007B37AE">
        <w:trPr>
          <w:cantSplit/>
          <w:tblHeader/>
        </w:trPr>
        <w:tc>
          <w:tcPr>
            <w:tcW w:w="4944" w:type="dxa"/>
            <w:tcBorders>
              <w:top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left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Critère stratégique de sélection de projets</w:t>
            </w:r>
          </w:p>
        </w:tc>
        <w:tc>
          <w:tcPr>
            <w:tcW w:w="1541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517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523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21F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B37AE" w:rsidRPr="00421FED" w:rsidRDefault="007B37AE" w:rsidP="00746A0D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pondération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Degré d</w:t>
            </w:r>
            <w:r>
              <w:rPr>
                <w:sz w:val="18"/>
                <w:szCs w:val="18"/>
              </w:rPr>
              <w:t>e</w:t>
            </w:r>
            <w:r w:rsidRPr="0069440A">
              <w:rPr>
                <w:sz w:val="18"/>
                <w:szCs w:val="18"/>
              </w:rPr>
              <w:t xml:space="preserve"> cohérence avec les valeurs de l’organisation</w:t>
            </w:r>
          </w:p>
        </w:tc>
        <w:tc>
          <w:tcPr>
            <w:tcW w:w="15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Fortement</w:t>
            </w:r>
            <w:r>
              <w:rPr>
                <w:sz w:val="18"/>
                <w:szCs w:val="18"/>
              </w:rPr>
              <w:br/>
              <w:t>incohérente</w:t>
            </w:r>
          </w:p>
        </w:tc>
        <w:tc>
          <w:tcPr>
            <w:tcW w:w="15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Un peu</w:t>
            </w:r>
            <w:r w:rsidRPr="0069440A">
              <w:rPr>
                <w:sz w:val="18"/>
                <w:szCs w:val="18"/>
              </w:rPr>
              <w:br/>
              <w:t>incohérent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2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Neutre</w:t>
            </w:r>
          </w:p>
        </w:tc>
        <w:tc>
          <w:tcPr>
            <w:tcW w:w="152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Cohérente</w:t>
            </w:r>
          </w:p>
        </w:tc>
        <w:tc>
          <w:tcPr>
            <w:tcW w:w="16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les valeurs</w:t>
            </w:r>
            <w:r>
              <w:rPr>
                <w:sz w:val="18"/>
                <w:szCs w:val="18"/>
              </w:rPr>
              <w:br/>
              <w:t>en évidence</w:t>
            </w:r>
          </w:p>
        </w:tc>
        <w:tc>
          <w:tcPr>
            <w:tcW w:w="136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Degré d</w:t>
            </w:r>
            <w:r>
              <w:rPr>
                <w:sz w:val="18"/>
                <w:szCs w:val="18"/>
              </w:rPr>
              <w:t>e</w:t>
            </w:r>
            <w:r w:rsidRPr="0069440A">
              <w:rPr>
                <w:sz w:val="18"/>
                <w:szCs w:val="18"/>
              </w:rPr>
              <w:t xml:space="preserve"> cohérence avec la mission de l’organisation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Fortement</w:t>
            </w:r>
            <w:r>
              <w:rPr>
                <w:sz w:val="18"/>
                <w:szCs w:val="18"/>
              </w:rPr>
              <w:br/>
              <w:t>incohérente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Un peu</w:t>
            </w:r>
            <w:r w:rsidRPr="0069440A">
              <w:rPr>
                <w:sz w:val="18"/>
                <w:szCs w:val="18"/>
              </w:rPr>
              <w:br/>
              <w:t>incohérent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Neutre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Cohérente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Renforce</w:t>
            </w:r>
            <w:r>
              <w:rPr>
                <w:sz w:val="18"/>
                <w:szCs w:val="18"/>
              </w:rPr>
              <w:br/>
              <w:t>la mission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Degré d</w:t>
            </w:r>
            <w:r>
              <w:rPr>
                <w:sz w:val="18"/>
                <w:szCs w:val="18"/>
              </w:rPr>
              <w:t>e</w:t>
            </w:r>
            <w:r w:rsidRPr="0069440A">
              <w:rPr>
                <w:sz w:val="18"/>
                <w:szCs w:val="18"/>
              </w:rPr>
              <w:t xml:space="preserve"> cohérence avec la </w:t>
            </w:r>
            <w:r>
              <w:rPr>
                <w:sz w:val="18"/>
                <w:szCs w:val="18"/>
              </w:rPr>
              <w:t>vision</w:t>
            </w:r>
            <w:r w:rsidRPr="0069440A">
              <w:rPr>
                <w:sz w:val="18"/>
                <w:szCs w:val="18"/>
              </w:rPr>
              <w:t xml:space="preserve"> de l’organisation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Fortement</w:t>
            </w:r>
            <w:r>
              <w:rPr>
                <w:sz w:val="18"/>
                <w:szCs w:val="18"/>
              </w:rPr>
              <w:br/>
              <w:t>incohérente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Un peu</w:t>
            </w:r>
            <w:r w:rsidRPr="0069440A">
              <w:rPr>
                <w:sz w:val="18"/>
                <w:szCs w:val="18"/>
              </w:rPr>
              <w:br/>
              <w:t>incohérent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Neutre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Cohérente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Renforce</w:t>
            </w:r>
            <w:r>
              <w:rPr>
                <w:sz w:val="18"/>
                <w:szCs w:val="18"/>
              </w:rPr>
              <w:br/>
              <w:t>la vision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Degré d’urgence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urgent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Assez pressé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Flexible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</w:t>
            </w:r>
            <w:r>
              <w:rPr>
                <w:sz w:val="18"/>
                <w:szCs w:val="18"/>
              </w:rPr>
              <w:br/>
              <w:t>délais précis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Stabilité des objectifs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Chaotiques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Inconstants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Risques mod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rés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Relativement stable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stable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Soutien des parties prenantes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Fortes oppos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tions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oppositions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Equilibre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soutien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Soutien</w:t>
            </w:r>
            <w:r>
              <w:rPr>
                <w:sz w:val="18"/>
                <w:szCs w:val="18"/>
              </w:rPr>
              <w:br/>
              <w:t>inconditionnel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Durée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long</w:t>
            </w:r>
            <w:r>
              <w:rPr>
                <w:sz w:val="18"/>
                <w:szCs w:val="18"/>
              </w:rPr>
              <w:br/>
              <w:t>&gt; 2ans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br/>
              <w:t>de 6 mois à 2 ans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  <w:r>
              <w:rPr>
                <w:sz w:val="18"/>
                <w:szCs w:val="18"/>
              </w:rPr>
              <w:br/>
              <w:t>de 2 à 6 mois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 de </w:t>
            </w:r>
            <w:r>
              <w:rPr>
                <w:sz w:val="18"/>
                <w:szCs w:val="18"/>
              </w:rPr>
              <w:br/>
              <w:t>15 jours à 1 mois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court</w:t>
            </w:r>
            <w:r>
              <w:rPr>
                <w:sz w:val="18"/>
                <w:szCs w:val="18"/>
              </w:rPr>
              <w:br/>
              <w:t>&lt; 15 jours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Coût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élevé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Elevé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marché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Presque </w:t>
            </w:r>
            <w:r>
              <w:rPr>
                <w:sz w:val="18"/>
                <w:szCs w:val="18"/>
              </w:rPr>
              <w:br/>
              <w:t>sans coûts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Relation coût x bénéfice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coûteux</w:t>
            </w:r>
            <w:r>
              <w:rPr>
                <w:sz w:val="18"/>
                <w:szCs w:val="18"/>
              </w:rPr>
              <w:br/>
              <w:t>et peu de résu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tats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Coûteux</w:t>
            </w:r>
            <w:r>
              <w:rPr>
                <w:sz w:val="18"/>
                <w:szCs w:val="18"/>
              </w:rPr>
              <w:br/>
              <w:t>et peu de résu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tats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Equilibre</w:t>
            </w:r>
            <w:r>
              <w:rPr>
                <w:sz w:val="18"/>
                <w:szCs w:val="18"/>
              </w:rPr>
              <w:br/>
              <w:t>raisonnable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fav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rable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</w:t>
            </w:r>
            <w:r>
              <w:rPr>
                <w:sz w:val="18"/>
                <w:szCs w:val="18"/>
              </w:rPr>
              <w:br/>
              <w:t>très favorable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Disponibilité des ressources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Ressources très</w:t>
            </w:r>
            <w:r>
              <w:rPr>
                <w:sz w:val="18"/>
                <w:szCs w:val="18"/>
              </w:rPr>
              <w:br/>
              <w:t>concurrencées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Exige quelques </w:t>
            </w:r>
            <w:r>
              <w:rPr>
                <w:sz w:val="18"/>
                <w:szCs w:val="18"/>
              </w:rPr>
              <w:br/>
              <w:t>remaniements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Peuvent être</w:t>
            </w:r>
            <w:r>
              <w:rPr>
                <w:sz w:val="18"/>
                <w:szCs w:val="18"/>
              </w:rPr>
              <w:br/>
              <w:t>allouées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Facilement</w:t>
            </w:r>
            <w:r>
              <w:rPr>
                <w:sz w:val="18"/>
                <w:szCs w:val="18"/>
              </w:rPr>
              <w:br/>
              <w:t>disponibles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Disponibles et sans attributions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Degré de risque du projet durant son exécution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risqué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moyen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 de risque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Presque sans risque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 aucun risque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lastRenderedPageBreak/>
              <w:t>Degré de complexité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complexe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Moyennement complexe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Assez simple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simple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Caractère d’innovation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Presque obsol</w:t>
            </w:r>
            <w:r>
              <w:rPr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>te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 aucune</w:t>
            </w:r>
            <w:r>
              <w:rPr>
                <w:sz w:val="18"/>
                <w:szCs w:val="18"/>
              </w:rPr>
              <w:br/>
              <w:t>nouveauté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nouveautés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Innovant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Révolutionnaire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Possibilité de réutilisation des résultats ou procédés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 et avec</w:t>
            </w:r>
            <w:r>
              <w:rPr>
                <w:sz w:val="18"/>
                <w:szCs w:val="18"/>
              </w:rPr>
              <w:br/>
              <w:t>forte adaptation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Possibilités de transfert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Réutilisation</w:t>
            </w:r>
            <w:r>
              <w:rPr>
                <w:sz w:val="18"/>
                <w:szCs w:val="18"/>
              </w:rPr>
              <w:br/>
              <w:t>possible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Réutilisation</w:t>
            </w:r>
            <w:r>
              <w:rPr>
                <w:sz w:val="18"/>
                <w:szCs w:val="18"/>
              </w:rPr>
              <w:br/>
              <w:t>totale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Développement des compétences internes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Presque pas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Apprentissage</w:t>
            </w:r>
            <w:r>
              <w:rPr>
                <w:sz w:val="18"/>
                <w:szCs w:val="18"/>
              </w:rPr>
              <w:br/>
              <w:t>normal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Apprentissage</w:t>
            </w:r>
            <w:r>
              <w:rPr>
                <w:sz w:val="18"/>
                <w:szCs w:val="18"/>
              </w:rPr>
              <w:br/>
              <w:t>fort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Défis</w:t>
            </w:r>
            <w:r>
              <w:rPr>
                <w:sz w:val="18"/>
                <w:szCs w:val="18"/>
              </w:rPr>
              <w:br/>
              <w:t>considérables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 xml:space="preserve">Impact environnemental 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Fortement</w:t>
            </w:r>
            <w:r>
              <w:rPr>
                <w:sz w:val="18"/>
                <w:szCs w:val="18"/>
              </w:rPr>
              <w:br/>
              <w:t>négatif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Légèrement</w:t>
            </w:r>
            <w:r>
              <w:rPr>
                <w:sz w:val="18"/>
                <w:szCs w:val="18"/>
              </w:rPr>
              <w:br/>
              <w:t>négatif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Légèrement</w:t>
            </w:r>
            <w:r>
              <w:rPr>
                <w:sz w:val="18"/>
                <w:szCs w:val="18"/>
              </w:rPr>
              <w:br/>
              <w:t>positif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Fortement</w:t>
            </w:r>
            <w:r>
              <w:rPr>
                <w:sz w:val="18"/>
                <w:szCs w:val="18"/>
              </w:rPr>
              <w:br/>
              <w:t>positif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 w:rsidRPr="0069440A">
              <w:rPr>
                <w:sz w:val="18"/>
                <w:szCs w:val="18"/>
              </w:rPr>
              <w:t>Durabilité des impacts après la fin du projet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</w:t>
            </w: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jours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semaines</w:t>
            </w: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mois</w:t>
            </w: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</w:t>
            </w:r>
            <w:r>
              <w:rPr>
                <w:sz w:val="18"/>
                <w:szCs w:val="18"/>
              </w:rPr>
              <w:br/>
              <w:t>années</w:t>
            </w: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dashSmallGap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37AE" w:rsidRPr="00421FED" w:rsidTr="00976F87">
        <w:trPr>
          <w:cantSplit/>
        </w:trPr>
        <w:tc>
          <w:tcPr>
            <w:tcW w:w="4944" w:type="dxa"/>
            <w:tcBorders>
              <w:top w:val="dashSmallGap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Pr="0069440A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</w:t>
            </w:r>
            <w:bookmarkStart w:id="0" w:name="_GoBack"/>
            <w:bookmarkEnd w:id="0"/>
            <w:r>
              <w:rPr>
                <w:sz w:val="18"/>
                <w:szCs w:val="18"/>
              </w:rPr>
              <w:t>…</w:t>
            </w:r>
          </w:p>
        </w:tc>
        <w:tc>
          <w:tcPr>
            <w:tcW w:w="1541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  <w:p w:rsidR="00976F87" w:rsidRDefault="00976F87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dashSmallGap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</w:tcPr>
          <w:p w:rsidR="007B37AE" w:rsidRDefault="007B37AE" w:rsidP="00746A0D">
            <w:pPr>
              <w:spacing w:beforeLines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5261" w:rsidRPr="0043433A" w:rsidRDefault="00445261" w:rsidP="00E6565D"/>
    <w:sectPr w:rsidR="00445261" w:rsidRPr="0043433A" w:rsidSect="00C76582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79" w:rsidRDefault="00F02779" w:rsidP="00D3777F">
      <w:r>
        <w:separator/>
      </w:r>
    </w:p>
  </w:endnote>
  <w:endnote w:type="continuationSeparator" w:id="0">
    <w:p w:rsidR="00F02779" w:rsidRDefault="00F02779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5459DF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5459DF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fldSimple w:instr=" FILENAME   \* MERGEFORMAT ">
      <w:r w:rsidR="00746A0D">
        <w:rPr>
          <w:noProof/>
          <w:sz w:val="16"/>
          <w:szCs w:val="16"/>
        </w:rPr>
        <w:t>Criteres strategiques de selection de projets.docx</w:t>
      </w:r>
    </w:fldSimple>
    <w:r w:rsidR="00746A0D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746A0D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79" w:rsidRDefault="00F02779" w:rsidP="00D3777F">
      <w:r>
        <w:separator/>
      </w:r>
    </w:p>
  </w:footnote>
  <w:footnote w:type="continuationSeparator" w:id="0">
    <w:p w:rsidR="00F02779" w:rsidRDefault="00F02779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61" w:rsidRDefault="00903503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-213995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7F" w:rsidRDefault="00445261" w:rsidP="00C76582">
    <w:pPr>
      <w:pStyle w:val="En-tte"/>
      <w:tabs>
        <w:tab w:val="clear" w:pos="9072"/>
        <w:tab w:val="right" w:pos="14034"/>
      </w:tabs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Fil rouge de </w:t>
    </w:r>
    <w:r w:rsidR="007E53C4">
      <w:rPr>
        <w:sz w:val="16"/>
        <w:szCs w:val="16"/>
      </w:rPr>
      <w:t>gestion</w:t>
    </w:r>
    <w:r>
      <w:rPr>
        <w:sz w:val="16"/>
        <w:szCs w:val="16"/>
      </w:rPr>
      <w:t xml:space="preserve"> de projet</w:t>
    </w:r>
    <w:r w:rsidR="007E53C4">
      <w:rPr>
        <w:sz w:val="16"/>
        <w:szCs w:val="16"/>
      </w:rPr>
      <w:t>s</w:t>
    </w:r>
  </w:p>
  <w:p w:rsidR="007B37AE" w:rsidRDefault="007B37AE" w:rsidP="00C76582">
    <w:pPr>
      <w:pStyle w:val="En-tte"/>
      <w:tabs>
        <w:tab w:val="clear" w:pos="9072"/>
        <w:tab w:val="right" w:pos="140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C4"/>
    <w:rsid w:val="00163B85"/>
    <w:rsid w:val="002F1EAF"/>
    <w:rsid w:val="00421FED"/>
    <w:rsid w:val="0043433A"/>
    <w:rsid w:val="00445261"/>
    <w:rsid w:val="00490E66"/>
    <w:rsid w:val="004A4C3B"/>
    <w:rsid w:val="005459DF"/>
    <w:rsid w:val="005A6B31"/>
    <w:rsid w:val="00671F5A"/>
    <w:rsid w:val="0069440A"/>
    <w:rsid w:val="00746A0D"/>
    <w:rsid w:val="007B37AE"/>
    <w:rsid w:val="007E53C4"/>
    <w:rsid w:val="008C35F5"/>
    <w:rsid w:val="00903503"/>
    <w:rsid w:val="00976F87"/>
    <w:rsid w:val="00AC1FB7"/>
    <w:rsid w:val="00BA1129"/>
    <w:rsid w:val="00C76582"/>
    <w:rsid w:val="00D3777F"/>
    <w:rsid w:val="00DB525B"/>
    <w:rsid w:val="00DE0406"/>
    <w:rsid w:val="00E554D5"/>
    <w:rsid w:val="00E6565D"/>
    <w:rsid w:val="00F0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4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69440A"/>
    <w:pPr>
      <w:spacing w:before="100" w:after="100"/>
      <w:ind w:left="3969"/>
      <w:jc w:val="left"/>
    </w:pPr>
    <w:rPr>
      <w:rFonts w:eastAsia="Times New Roman" w:cs="Times New Roman"/>
      <w:snapToGrid w:val="0"/>
      <w:sz w:val="20"/>
      <w:szCs w:val="20"/>
      <w:lang w:val="pt-BR" w:eastAsia="pt-B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69440A"/>
    <w:rPr>
      <w:rFonts w:ascii="Arial" w:eastAsia="Times New Roman" w:hAnsi="Arial"/>
      <w:snapToGrid w:val="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4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69440A"/>
    <w:pPr>
      <w:spacing w:before="100" w:after="100"/>
      <w:ind w:left="3969"/>
      <w:jc w:val="left"/>
    </w:pPr>
    <w:rPr>
      <w:rFonts w:eastAsia="Times New Roman" w:cs="Times New Roman"/>
      <w:snapToGrid w:val="0"/>
      <w:sz w:val="20"/>
      <w:szCs w:val="20"/>
      <w:lang w:val="pt-BR" w:eastAsia="pt-B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69440A"/>
    <w:rPr>
      <w:rFonts w:ascii="Arial" w:eastAsia="Times New Roman" w:hAnsi="Arial"/>
      <w:snapToGrid w:val="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71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2816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3</cp:revision>
  <cp:lastPrinted>2010-06-22T15:12:00Z</cp:lastPrinted>
  <dcterms:created xsi:type="dcterms:W3CDTF">2013-08-16T14:19:00Z</dcterms:created>
  <dcterms:modified xsi:type="dcterms:W3CDTF">2015-10-09T18:50:00Z</dcterms:modified>
</cp:coreProperties>
</file>